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59" w:type="dxa"/>
        <w:tblLook w:val="04A0"/>
      </w:tblPr>
      <w:tblGrid>
        <w:gridCol w:w="4635"/>
        <w:gridCol w:w="5445"/>
      </w:tblGrid>
      <w:tr w:rsidR="00236633" w:rsidTr="00236633">
        <w:trPr>
          <w:trHeight w:val="1146"/>
        </w:trPr>
        <w:tc>
          <w:tcPr>
            <w:tcW w:w="4635" w:type="dxa"/>
          </w:tcPr>
          <w:p w:rsidR="00236633" w:rsidRDefault="00236633" w:rsidP="00E53562">
            <w:pPr>
              <w:pStyle w:val="Heading2"/>
              <w:rPr>
                <w:rFonts w:ascii="Times New Roman" w:hAnsi="Times New Roman"/>
                <w:b w:val="0"/>
                <w:szCs w:val="26"/>
              </w:rPr>
            </w:pPr>
            <w:r>
              <w:rPr>
                <w:rFonts w:ascii="Times New Roman" w:hAnsi="Times New Roman"/>
                <w:b w:val="0"/>
                <w:szCs w:val="26"/>
              </w:rPr>
              <w:t>PHÒNG GIÁO DỤC VÀ ĐÀO TẠO</w:t>
            </w:r>
          </w:p>
          <w:p w:rsidR="00236633" w:rsidRDefault="00236633" w:rsidP="00E535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TRƯỜNG TIỂU HỌC MINH CẦM</w:t>
            </w:r>
          </w:p>
          <w:p w:rsidR="00236633" w:rsidRDefault="00236633">
            <w:pPr>
              <w:spacing w:after="0"/>
              <w:jc w:val="center"/>
              <w:rPr>
                <w:rFonts w:ascii="Times New Roman" w:hAnsi="Times New Roman"/>
                <w:b/>
                <w:bCs/>
                <w:sz w:val="20"/>
                <w:szCs w:val="28"/>
              </w:rPr>
            </w:pPr>
            <w:r>
              <w:pict>
                <v:line id="_x0000_s1026" style="position:absolute;left:0;text-align:left;z-index:251658240" from="52.35pt,1.15pt" to="164.4pt,1.15pt">
                  <w10:wrap anchorx="page"/>
                </v:line>
              </w:pict>
            </w:r>
          </w:p>
          <w:p w:rsidR="00236633" w:rsidRDefault="00236633">
            <w:pPr>
              <w:spacing w:after="0"/>
              <w:jc w:val="center"/>
              <w:rPr>
                <w:rFonts w:ascii="Times New Roman" w:hAnsi="Times New Roman"/>
                <w:sz w:val="24"/>
                <w:szCs w:val="24"/>
              </w:rPr>
            </w:pPr>
            <w:r>
              <w:rPr>
                <w:rFonts w:ascii="Times New Roman" w:hAnsi="Times New Roman"/>
                <w:sz w:val="24"/>
              </w:rPr>
              <w:t>Số:</w:t>
            </w:r>
            <w:r w:rsidR="006E0F7E">
              <w:rPr>
                <w:rFonts w:ascii="Times New Roman" w:hAnsi="Times New Roman"/>
                <w:sz w:val="24"/>
              </w:rPr>
              <w:t xml:space="preserve"> 81</w:t>
            </w:r>
            <w:r>
              <w:rPr>
                <w:rFonts w:ascii="Times New Roman" w:hAnsi="Times New Roman"/>
                <w:sz w:val="24"/>
              </w:rPr>
              <w:t xml:space="preserve"> /KH- THMC</w:t>
            </w:r>
          </w:p>
          <w:p w:rsidR="00236633" w:rsidRDefault="00236633">
            <w:pPr>
              <w:jc w:val="center"/>
              <w:rPr>
                <w:rFonts w:ascii="Times New Roman" w:hAnsi="Times New Roman"/>
                <w:sz w:val="24"/>
                <w:szCs w:val="24"/>
                <w:lang w:val="fr-FR"/>
              </w:rPr>
            </w:pPr>
          </w:p>
        </w:tc>
        <w:tc>
          <w:tcPr>
            <w:tcW w:w="5445" w:type="dxa"/>
          </w:tcPr>
          <w:p w:rsidR="00236633" w:rsidRDefault="00236633">
            <w:pPr>
              <w:spacing w:after="0" w:line="240" w:lineRule="auto"/>
              <w:rPr>
                <w:rFonts w:ascii="Times New Roman" w:eastAsia="Times New Roman" w:hAnsi="Times New Roman" w:cs="Times New Roman"/>
                <w:b/>
                <w:bCs/>
                <w:sz w:val="24"/>
                <w:szCs w:val="26"/>
                <w:lang w:val="fr-FR"/>
              </w:rPr>
            </w:pPr>
            <w:r>
              <w:rPr>
                <w:rFonts w:ascii="Times New Roman" w:hAnsi="Times New Roman"/>
                <w:b/>
                <w:bCs/>
                <w:sz w:val="24"/>
                <w:szCs w:val="26"/>
                <w:lang w:val="fr-FR"/>
              </w:rPr>
              <w:t>CỘNG HOÀ XÃ HỘI CHỦ NGHĨA VIỆT NAM</w:t>
            </w:r>
          </w:p>
          <w:p w:rsidR="00236633" w:rsidRDefault="00236633">
            <w:pPr>
              <w:spacing w:after="0" w:line="240" w:lineRule="auto"/>
              <w:rPr>
                <w:rFonts w:ascii="Times New Roman" w:hAnsi="Times New Roman"/>
                <w:b/>
                <w:bCs/>
                <w:sz w:val="24"/>
                <w:szCs w:val="26"/>
              </w:rPr>
            </w:pPr>
            <w:r>
              <w:rPr>
                <w:rFonts w:ascii="Times New Roman" w:hAnsi="Times New Roman"/>
                <w:b/>
                <w:bCs/>
                <w:sz w:val="26"/>
                <w:szCs w:val="26"/>
                <w:lang w:val="fr-FR"/>
              </w:rPr>
              <w:t xml:space="preserve">              </w:t>
            </w:r>
            <w:r>
              <w:rPr>
                <w:rFonts w:ascii="Times New Roman" w:hAnsi="Times New Roman"/>
                <w:b/>
                <w:bCs/>
                <w:sz w:val="26"/>
                <w:szCs w:val="26"/>
              </w:rPr>
              <w:t>Độc lập – Tự do – Hạnh phúc</w:t>
            </w:r>
          </w:p>
          <w:p w:rsidR="00236633" w:rsidRDefault="00236633">
            <w:pPr>
              <w:spacing w:after="0" w:line="240" w:lineRule="auto"/>
              <w:jc w:val="center"/>
              <w:rPr>
                <w:rFonts w:ascii="Times New Roman" w:hAnsi="Times New Roman"/>
                <w:b/>
                <w:bCs/>
                <w:sz w:val="24"/>
                <w:szCs w:val="28"/>
              </w:rPr>
            </w:pPr>
            <w:r>
              <w:pict>
                <v:line id="_x0000_s1027" style="position:absolute;left:0;text-align:left;flip:y;z-index:251658240" from="42.5pt,1.4pt" to="205.65pt,1.4pt">
                  <w10:wrap anchorx="page"/>
                </v:line>
              </w:pict>
            </w:r>
          </w:p>
          <w:p w:rsidR="00236633" w:rsidRDefault="00236633" w:rsidP="00CA144E">
            <w:pPr>
              <w:spacing w:after="0" w:line="240" w:lineRule="auto"/>
              <w:jc w:val="center"/>
              <w:rPr>
                <w:rFonts w:ascii="Times New Roman" w:hAnsi="Times New Roman"/>
                <w:i/>
                <w:iCs/>
                <w:sz w:val="24"/>
                <w:szCs w:val="28"/>
              </w:rPr>
            </w:pPr>
            <w:r>
              <w:rPr>
                <w:rFonts w:ascii="Times New Roman" w:hAnsi="Times New Roman"/>
                <w:i/>
                <w:iCs/>
                <w:sz w:val="26"/>
                <w:szCs w:val="28"/>
              </w:rPr>
              <w:t xml:space="preserve">Minh Cầm, ngày  </w:t>
            </w:r>
            <w:r w:rsidR="00CA144E">
              <w:rPr>
                <w:rFonts w:ascii="Times New Roman" w:hAnsi="Times New Roman"/>
                <w:i/>
                <w:iCs/>
                <w:sz w:val="26"/>
                <w:szCs w:val="28"/>
              </w:rPr>
              <w:t>15</w:t>
            </w:r>
            <w:r>
              <w:rPr>
                <w:rFonts w:ascii="Times New Roman" w:hAnsi="Times New Roman"/>
                <w:i/>
                <w:iCs/>
                <w:sz w:val="26"/>
                <w:szCs w:val="28"/>
              </w:rPr>
              <w:t xml:space="preserve"> tháng 9 năm 2017</w:t>
            </w:r>
          </w:p>
        </w:tc>
      </w:tr>
    </w:tbl>
    <w:p w:rsidR="00236633" w:rsidRDefault="00236633" w:rsidP="002366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KẾ HOẠCH </w:t>
      </w:r>
    </w:p>
    <w:p w:rsidR="00236633" w:rsidRDefault="00236633" w:rsidP="002366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Triển khai công tác giáo dục thể chất, hoạt động thể thao </w:t>
      </w:r>
    </w:p>
    <w:p w:rsidR="00236633" w:rsidRDefault="00236633" w:rsidP="002366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và Y tế trường học năm học 201</w:t>
      </w:r>
      <w:r w:rsidR="00014734">
        <w:rPr>
          <w:rFonts w:ascii="Times New Roman" w:hAnsi="Times New Roman" w:cs="Times New Roman"/>
          <w:b/>
          <w:sz w:val="28"/>
          <w:szCs w:val="28"/>
        </w:rPr>
        <w:t>7</w:t>
      </w:r>
      <w:r>
        <w:rPr>
          <w:rFonts w:ascii="Times New Roman" w:hAnsi="Times New Roman" w:cs="Times New Roman"/>
          <w:b/>
          <w:sz w:val="28"/>
          <w:szCs w:val="28"/>
        </w:rPr>
        <w:t>-201</w:t>
      </w:r>
      <w:r w:rsidR="00014734">
        <w:rPr>
          <w:rFonts w:ascii="Times New Roman" w:hAnsi="Times New Roman" w:cs="Times New Roman"/>
          <w:b/>
          <w:sz w:val="28"/>
          <w:szCs w:val="28"/>
        </w:rPr>
        <w:t>8</w:t>
      </w:r>
    </w:p>
    <w:p w:rsidR="00236633" w:rsidRDefault="00236633" w:rsidP="00236633">
      <w:pPr>
        <w:spacing w:before="40" w:after="40"/>
        <w:ind w:left="1440" w:firstLine="720"/>
        <w:rPr>
          <w:rFonts w:ascii="Times New Roman" w:hAnsi="Times New Roman" w:cs="Times New Roman"/>
          <w:sz w:val="28"/>
          <w:szCs w:val="28"/>
        </w:rPr>
      </w:pPr>
      <w:r>
        <w:rPr>
          <w:rFonts w:ascii="Times New Roman" w:hAnsi="Times New Roman" w:cs="Times New Roman"/>
          <w:sz w:val="28"/>
          <w:szCs w:val="28"/>
        </w:rPr>
        <w:t xml:space="preserve"> </w:t>
      </w:r>
    </w:p>
    <w:p w:rsidR="00236633" w:rsidRDefault="00236633" w:rsidP="00236633">
      <w:pPr>
        <w:spacing w:before="80" w:after="80" w:line="320" w:lineRule="exact"/>
        <w:ind w:firstLine="540"/>
        <w:jc w:val="both"/>
        <w:rPr>
          <w:rFonts w:ascii="Times New Roman" w:hAnsi="Times New Roman" w:cs="Times New Roman"/>
          <w:spacing w:val="-4"/>
          <w:sz w:val="28"/>
          <w:szCs w:val="28"/>
        </w:rPr>
      </w:pPr>
      <w:r>
        <w:rPr>
          <w:rFonts w:ascii="Times New Roman" w:hAnsi="Times New Roman" w:cs="Times New Roman"/>
          <w:color w:val="000000"/>
          <w:spacing w:val="-4"/>
          <w:sz w:val="28"/>
          <w:szCs w:val="28"/>
          <w:highlight w:val="white"/>
        </w:rPr>
        <w:t xml:space="preserve">Căn cứ </w:t>
      </w:r>
      <w:r>
        <w:rPr>
          <w:rFonts w:ascii="Times New Roman" w:hAnsi="Times New Roman" w:cs="Times New Roman"/>
          <w:spacing w:val="-4"/>
          <w:sz w:val="28"/>
          <w:szCs w:val="28"/>
        </w:rPr>
        <w:t>Công văn số 357/PG&amp;DĐT ngày 14/9/2017 của Phòng GD&amp;ĐT Ba Chẽ về việc hướng dẫn công tác giáo dục thể chất, hoạt động thể thao và y tế trường học năm học 2017-2018;</w:t>
      </w:r>
    </w:p>
    <w:p w:rsidR="00236633" w:rsidRDefault="00236633" w:rsidP="00236633">
      <w:pPr>
        <w:spacing w:before="80" w:after="80" w:line="320" w:lineRule="exact"/>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Trường Tiểu học Minh Cầm xây dựng kế hoạch thực hiện</w:t>
      </w:r>
      <w:r w:rsidRPr="00236633">
        <w:rPr>
          <w:rFonts w:ascii="Times New Roman" w:hAnsi="Times New Roman" w:cs="Times New Roman"/>
          <w:spacing w:val="-4"/>
          <w:sz w:val="28"/>
          <w:szCs w:val="28"/>
        </w:rPr>
        <w:t xml:space="preserve"> </w:t>
      </w:r>
      <w:r>
        <w:rPr>
          <w:rFonts w:ascii="Times New Roman" w:hAnsi="Times New Roman" w:cs="Times New Roman"/>
          <w:spacing w:val="-4"/>
          <w:sz w:val="28"/>
          <w:szCs w:val="28"/>
        </w:rPr>
        <w:t>giáo dục thể chất, hoạt động thể thao và y tế trường học năm học 2017-2018 như sau:</w:t>
      </w:r>
    </w:p>
    <w:p w:rsidR="00014734" w:rsidRPr="00205AAB" w:rsidRDefault="00236633" w:rsidP="00014734">
      <w:pPr>
        <w:spacing w:before="240" w:after="240"/>
        <w:rPr>
          <w:rFonts w:ascii="Times New Roman" w:hAnsi="Times New Roman" w:cs="Times New Roman"/>
          <w:b/>
          <w:bCs/>
          <w:spacing w:val="-4"/>
          <w:sz w:val="26"/>
          <w:szCs w:val="26"/>
        </w:rPr>
      </w:pPr>
      <w:r w:rsidRPr="00205AAB">
        <w:rPr>
          <w:rFonts w:ascii="Times New Roman" w:hAnsi="Times New Roman" w:cs="Times New Roman"/>
          <w:b/>
          <w:bCs/>
          <w:spacing w:val="-4"/>
          <w:sz w:val="26"/>
          <w:szCs w:val="26"/>
        </w:rPr>
        <w:tab/>
      </w:r>
      <w:r w:rsidR="00014734" w:rsidRPr="00205AAB">
        <w:rPr>
          <w:rFonts w:ascii="Times New Roman" w:hAnsi="Times New Roman" w:cs="Times New Roman"/>
          <w:b/>
          <w:bCs/>
          <w:sz w:val="26"/>
          <w:szCs w:val="26"/>
        </w:rPr>
        <w:t>A. NHIỆM VỤ CHUNG</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1. Tiếp tục triển khai thực hiện Chương trình hành động của Chính phủ thực hiện Nghị quyết số 29-NQ/TW của Ban chấp hành Trung ương Đảng về đổi mới căn bản, toàn diện giáo dục và đào tạo; Nghị quyết số 88/2014/QH13 của Quốc hội và Quyết định số 404/QĐ-TTg của Thủ tướng Chính phủ về đổi mới chương trình, sách giáo khoa giáo dục phổ thông.</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2. Bám sát nội dung các văn bản chỉ đạo của Đảng, Nhà nước, Chính phủ, Ủy ban nhân dân tỉnh, Sở GD&amp;ĐT, Phòng GD&amp;ĐT về lĩnh vực giáo dục thể chất, hoạt động thể thao, y tế trường học và phòng, chống tai nạn thương tích, đuối nước đối với học sinh: Luật, Nghị định, Quyết định, Chỉ thị, Chương trình, Kế hoạch và các văn bản chỉ đạo khác; chủ động tham mưu, đề xuất cơ quan có thẩm quyền xây dựng kế hoạch, phối hợp với các cơ quan liên quan, chỉ đạo, tổ chức triển khai hiệu quả các nội dung liên quan công tác giáo dục thể chất, hoạt động thể thao, y tế trường học và phòng, chống tai nạn thương tích, đuối nước đến cán bộ, giáo viên, học sinh trong trường học.</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3. Tổ chức, thực hiện hiệu quả nội dung, chương trình môn học giáo dục thể chất, các hoạt động thể thao của học sinh, cán bộ, giáo viên (CBGV) toàn ngành trong năm học 2017-2018. Củng cố, kiện toàn và tăng cường hiệu quả hoạt động y tế trường học, đẩy mạnh công tác chăm sóc sức khỏe, tư vấn, phòng chống dịch bệnh, bệnh học đường và các bệnh không lây nhiễm đối với trẻ em, học sinh. Tích cực triển khai công tác bảo hiểm y tế trong học sinh, phấn đấu 100% học sinh tham gia bảo hiểm y tế.</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4. Tăng cường công tác xây dựng trường học an toàn, phòng, tránh tai nạn thương tích; phòng, tránh tai nạn đuối nước, đặc biệt vào các dịp nghỉ hè, nghỉ lễ; đẩy mạnh việc dạy bơi cho học sinh, trẻ em.</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5. Từng bước tăng cường cơ sở vật chất, đảm bảo điều kiện tổ chức hiệu quả môn học Thể dục, các hoạt động thi đấu thể thao, hoạt động YTTH đối với học sinh, CBGV; thường xuyên tổ chức bồi dưỡng nâng cao năng lực, trình độ </w:t>
      </w:r>
      <w:r w:rsidRPr="00014734">
        <w:rPr>
          <w:rFonts w:ascii="Times New Roman" w:hAnsi="Times New Roman" w:cs="Times New Roman"/>
          <w:sz w:val="28"/>
          <w:szCs w:val="28"/>
        </w:rPr>
        <w:lastRenderedPageBreak/>
        <w:t>chuyên môn cho đội ngũ CBGV làm công tác giáo dục thể chất, thể thao và y tế trường học.</w:t>
      </w:r>
    </w:p>
    <w:p w:rsidR="00014734" w:rsidRPr="00014734" w:rsidRDefault="00014734" w:rsidP="00014734">
      <w:pPr>
        <w:spacing w:before="60" w:after="60" w:line="320" w:lineRule="exact"/>
        <w:ind w:firstLine="567"/>
        <w:jc w:val="both"/>
        <w:rPr>
          <w:rFonts w:ascii="Times New Roman" w:hAnsi="Times New Roman" w:cs="Times New Roman"/>
          <w:b/>
          <w:bCs/>
          <w:sz w:val="28"/>
          <w:szCs w:val="28"/>
          <w:lang w:val="nb-NO"/>
        </w:rPr>
      </w:pPr>
    </w:p>
    <w:p w:rsidR="00014734" w:rsidRPr="00205AAB" w:rsidRDefault="00014734" w:rsidP="00014734">
      <w:pPr>
        <w:spacing w:before="60" w:after="60" w:line="320" w:lineRule="exact"/>
        <w:ind w:firstLine="567"/>
        <w:jc w:val="both"/>
        <w:rPr>
          <w:rFonts w:ascii="Times New Roman" w:hAnsi="Times New Roman" w:cs="Times New Roman"/>
          <w:sz w:val="26"/>
          <w:szCs w:val="26"/>
        </w:rPr>
      </w:pPr>
      <w:r w:rsidRPr="00205AAB">
        <w:rPr>
          <w:rFonts w:ascii="Times New Roman" w:hAnsi="Times New Roman" w:cs="Times New Roman"/>
          <w:b/>
          <w:bCs/>
          <w:sz w:val="26"/>
          <w:szCs w:val="26"/>
          <w:lang w:val="nb-NO"/>
        </w:rPr>
        <w:t>B. NHIỆM VỤ CỤ THỂ</w:t>
      </w:r>
    </w:p>
    <w:p w:rsidR="00014734" w:rsidRPr="00014734" w:rsidRDefault="00014734" w:rsidP="00014734">
      <w:pPr>
        <w:spacing w:before="60" w:after="60" w:line="320" w:lineRule="exact"/>
        <w:ind w:firstLine="567"/>
        <w:jc w:val="both"/>
        <w:rPr>
          <w:rFonts w:ascii="Times New Roman" w:hAnsi="Times New Roman" w:cs="Times New Roman"/>
          <w:b/>
          <w:sz w:val="28"/>
          <w:szCs w:val="28"/>
        </w:rPr>
      </w:pPr>
      <w:r w:rsidRPr="00014734">
        <w:rPr>
          <w:rFonts w:ascii="Times New Roman" w:hAnsi="Times New Roman" w:cs="Times New Roman"/>
          <w:b/>
          <w:sz w:val="28"/>
          <w:szCs w:val="28"/>
        </w:rPr>
        <w:t xml:space="preserve">I. Công tác giáo dục thể chất, hoạt động thể thao trường học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1. Thực hiện nghiêm túc chương trình môn Thể dục nội khóa. Đổi mới phương pháp dạy học Thể dục theo hướng phát triển năng lực học sinh, tạo sự hứng thú, yêu thích cho học sinh khi tham gia giờ học Thể dục.</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2. Tiếp tục thực hiện nghiêm túc các văn bản chỉ đạo của Bộ Chính trị, Thủ tướng Chính phủ, Bộ Giáo dục và Đào tạo, Sở Giáo dục và Đào tạo Quảng Ninh về công tác giáo dục thể chất và thể thao</w:t>
      </w:r>
      <w:r>
        <w:rPr>
          <w:rFonts w:ascii="Times New Roman" w:hAnsi="Times New Roman" w:cs="Times New Roman"/>
          <w:sz w:val="28"/>
          <w:szCs w:val="28"/>
        </w:rPr>
        <w:t xml:space="preserve"> trong </w:t>
      </w:r>
      <w:r w:rsidRPr="00014734">
        <w:rPr>
          <w:rFonts w:ascii="Times New Roman" w:hAnsi="Times New Roman" w:cs="Times New Roman"/>
          <w:sz w:val="28"/>
          <w:szCs w:val="28"/>
        </w:rPr>
        <w:t xml:space="preserve"> trường học, cụ thể: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Nghị quyết số 08-NQ/TW ngày 01/12/2011 của Bộ Chính trị về tăng cường sự lãnh đạo của Đảng, tạo bước phát triển mạnh mẽ về Thể dục thể thao đến năm 2020; Nghị định số 11/2015/NĐ-CP ngày 31/01/2015 của Chính phủ quy định về công tác giáo dục thể chất và thể thao trường học;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Quyết định số 1611/QĐ-BGDĐT ngày 10/5/2017 của Bộ trưởng Bộ GDĐT về việc ban hành Kế hoạch triển khai thực hiện Quyết định số 1076/QĐ-TTg ngày 17/6/2016 của Thủ tướng Chính phủ về việc phê duyệt Đề án tổng thể phát triển GDTC và thể thao trường học giai đoạn 2016-2020, định hướng đến năm 2025.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Quyết định số 51/2012/QĐ-TTg ngày 16/11/2012 của Thủ tướng Chính phủ; Công văn số 06/SGDĐT-CNTT&amp;CTHSSV ngày 02/01/2013; Công văn số 1040/SGDĐT-CNTT&amp;CTHSSV ngày 03/4/2013 của Sở Giáo dục và Đào tạo Quảng Ninh về việc hướng dẫn thực hiện chi trả chế độ bồi dưỡng và chế độ trang phục cho giáo viên Thể dục thể thao.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Quyết định số 14/2001/QĐ-BGDĐT ngày 03/5/2001 của Bộ trưởng Bộ Giáo dục và Đào tạo về việc ban hành Quy chế giáo dục thể chất và y tế trường học;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Quyết định số 53/2008/QĐ-BGDĐT ngày 18/9/2008 của Bộ Giáo dục và Đào tạo về việc ban hành Quy định về việc đánh giá, xếp loại thể lực học sinh, sinh viên; Công văn số 1914/SGDĐT-GDTrH ngày 21/10/2008 của Sở Giáo dục và Đào tạo Quảng Ninh về việc hướng dẫn đánh giá, xếp loại thể lực học sinh.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Quyết định số 72/2008/QĐ-BGDĐT ngày 23/12/2008 của Bộ trưởng Bộ Giáo dục và Đào tạo về việc ban hành Quy định tổ chức hoạt động thể dục, thể thao ngoại khoá cho HSSV.</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Kế hoạch số 36/KH-PGD&amp;ĐT ngày 13/6/2016 của Phòng Giáo dục và Đào tạo về Tăng cường các giải pháp phòng, chống tai nạn thương tích, tai nạn đuối nước cho trẻ em, học sinh, trong đó đặc biệt chú trọng:</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(1) Làm tốt công tác tuyên truyền phòng, tránh tai nạn đuối nước cho học sinh tại cơ sở; cử cán bộ giáo viên tham gia các lớp tập huấn dạy bơi, cứu đuối, phòng, tránh tai nạn đuối nước cho học sinh khi có các lớp tập huấn.</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lastRenderedPageBreak/>
        <w:t>(2) Các trường chủ động phối hợp với các ban ngành tại địa phương tổ chức mở các lớp dạy bơi, cứu đuối, phòng tránh tai nạn đuối nước cho thanh, thiếu niên, học sinh ngoài giờ lên lớp và trong thời gian nghỉ hè bằng các nguồn xã hội hóa.</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3. Chủ động tổ chức các lớp bồi dưỡng nâng cao trình độ chuyên môn, nghiệp vụ cho giáo viên, cán bộ quản lý phụ trách công tác giáo dục thể chất và thể thao trường họ</w:t>
      </w:r>
      <w:r w:rsidR="00A6170A">
        <w:rPr>
          <w:rFonts w:ascii="Times New Roman" w:hAnsi="Times New Roman" w:cs="Times New Roman"/>
          <w:sz w:val="28"/>
          <w:szCs w:val="28"/>
        </w:rPr>
        <w:t>c</w:t>
      </w:r>
      <w:r w:rsidRPr="00014734">
        <w:rPr>
          <w:rFonts w:ascii="Times New Roman" w:hAnsi="Times New Roman" w:cs="Times New Roman"/>
          <w:sz w:val="28"/>
          <w:szCs w:val="28"/>
        </w:rPr>
        <w:t>; tạo điều kiện thuận lợi cho học sinh, CBGV được tham gia tập luyện và thi đấu các giải thể thao do tỉnh huyện tổ chức (các trường phổ thông, mỗi trường xây dựng thành lập 01 đến 02 mô hình công lạc bộ thể thao trong trường cho cán bộ giáo viên và học sinh tập luyện, chỉ đạo lên lịch hoạt động tổ chức tập luyện thường xuyên trong năm học 2017-2018).</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4. Duy trì và nâng cao chất lượng hoạt động thể dục giữa giờ; thực hiện nghiêm túc việc hô các khẩu ngữ đối với giờ dạy học Thể dục nội khóa và cuối hoạt động thể dục giữa giờ được quy định tại Công văn số 365/SGDĐT-CNTT&amp;CTHSSV ngày 24/2/2014.</w:t>
      </w:r>
    </w:p>
    <w:p w:rsidR="00014734" w:rsidRPr="00014734" w:rsidRDefault="00A6170A" w:rsidP="00014734">
      <w:pPr>
        <w:spacing w:before="60" w:after="60" w:line="32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014734" w:rsidRPr="00014734">
        <w:rPr>
          <w:rFonts w:ascii="Times New Roman" w:hAnsi="Times New Roman" w:cs="Times New Roman"/>
          <w:sz w:val="28"/>
          <w:szCs w:val="28"/>
        </w:rPr>
        <w:t xml:space="preserve">. Tiếp tục tổ chức các hoạt động thể dục, thể thao cấp trường: Hội khỏe Phù Đổng cấp trường đối với </w:t>
      </w:r>
      <w:r>
        <w:rPr>
          <w:rFonts w:ascii="Times New Roman" w:hAnsi="Times New Roman" w:cs="Times New Roman"/>
          <w:sz w:val="28"/>
          <w:szCs w:val="28"/>
        </w:rPr>
        <w:t>nhà</w:t>
      </w:r>
      <w:r w:rsidR="00014734" w:rsidRPr="00014734">
        <w:rPr>
          <w:rFonts w:ascii="Times New Roman" w:hAnsi="Times New Roman" w:cs="Times New Roman"/>
          <w:sz w:val="28"/>
          <w:szCs w:val="28"/>
        </w:rPr>
        <w:t xml:space="preserve"> trường</w:t>
      </w:r>
      <w:r>
        <w:rPr>
          <w:rFonts w:ascii="Times New Roman" w:hAnsi="Times New Roman" w:cs="Times New Roman"/>
          <w:sz w:val="28"/>
          <w:szCs w:val="28"/>
        </w:rPr>
        <w:t>.</w:t>
      </w:r>
      <w:r w:rsidR="00014734" w:rsidRPr="00014734">
        <w:rPr>
          <w:rFonts w:ascii="Times New Roman" w:hAnsi="Times New Roman" w:cs="Times New Roman"/>
          <w:sz w:val="28"/>
          <w:szCs w:val="28"/>
        </w:rPr>
        <w:t xml:space="preserve"> tuyển chọn những học sinh có thành tích tốt thành lập đội tuyển tập luyện và tham gia các giải thể thao cấp huyện, cấp tỉnh tổ chức.</w:t>
      </w:r>
    </w:p>
    <w:p w:rsidR="00014734" w:rsidRPr="00014734" w:rsidRDefault="00A6170A" w:rsidP="00014734">
      <w:pPr>
        <w:spacing w:before="60" w:after="60" w:line="32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00014734" w:rsidRPr="00014734">
        <w:rPr>
          <w:rFonts w:ascii="Times New Roman" w:hAnsi="Times New Roman" w:cs="Times New Roman"/>
          <w:sz w:val="28"/>
          <w:szCs w:val="28"/>
        </w:rPr>
        <w:t>. Các giải thể thao năm học 2017-2018:</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Cấp huyện: Giải Bóng đá Thiếu niên - Nhi đồng, tổ chức tháng 01/2018; Giải Điền kinh học sinh tổ chức tháng 02/2018.</w:t>
      </w:r>
    </w:p>
    <w:p w:rsidR="00014734" w:rsidRPr="00014734" w:rsidRDefault="00A6170A" w:rsidP="00014734">
      <w:pPr>
        <w:spacing w:before="60" w:after="60" w:line="32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014734" w:rsidRPr="00014734">
        <w:rPr>
          <w:rFonts w:ascii="Times New Roman" w:hAnsi="Times New Roman" w:cs="Times New Roman"/>
          <w:sz w:val="28"/>
          <w:szCs w:val="28"/>
        </w:rPr>
        <w:t xml:space="preserve">. Tăng cường công tác kiểm tra việc thực hiện nhiệm vụ giáo dục thể chất, hoạt động thể thao, công tác phòng, chống tai nạn đuối nước đối với </w:t>
      </w:r>
      <w:r>
        <w:rPr>
          <w:rFonts w:ascii="Times New Roman" w:hAnsi="Times New Roman" w:cs="Times New Roman"/>
          <w:sz w:val="28"/>
          <w:szCs w:val="28"/>
        </w:rPr>
        <w:t>nhà</w:t>
      </w:r>
      <w:r w:rsidR="00014734" w:rsidRPr="00014734">
        <w:rPr>
          <w:rFonts w:ascii="Times New Roman" w:hAnsi="Times New Roman" w:cs="Times New Roman"/>
          <w:sz w:val="28"/>
          <w:szCs w:val="28"/>
        </w:rPr>
        <w:t xml:space="preserve"> trường học.</w:t>
      </w:r>
    </w:p>
    <w:p w:rsidR="00014734" w:rsidRPr="00014734" w:rsidRDefault="00014734" w:rsidP="00014734">
      <w:pPr>
        <w:spacing w:before="60" w:after="60" w:line="320" w:lineRule="exact"/>
        <w:ind w:firstLine="567"/>
        <w:jc w:val="both"/>
        <w:rPr>
          <w:rFonts w:ascii="Times New Roman" w:hAnsi="Times New Roman" w:cs="Times New Roman"/>
          <w:b/>
          <w:sz w:val="28"/>
          <w:szCs w:val="28"/>
        </w:rPr>
      </w:pPr>
      <w:r w:rsidRPr="00014734">
        <w:rPr>
          <w:rFonts w:ascii="Times New Roman" w:hAnsi="Times New Roman" w:cs="Times New Roman"/>
          <w:b/>
          <w:sz w:val="28"/>
          <w:szCs w:val="28"/>
        </w:rPr>
        <w:t>II. Công tác y tế trường học</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1. Tiếp tục thực hiện nghiêm túc Thông tư liên tịch số 13/2016/TTLT-BYT-BGDĐT ngày 12 tháng 5 năm 2016 của Bộ Y tế và Bộ Giáo dục và Đào tạo qui định về y tế trường học (gọi tắt là Thông tư số 13); các văn bản hướng dẫn của: UBND Tỉnh, Ban chỉ đạo công tác YTTH Tỉnh, liên Sở GD&amp;ĐT-Y tế-Tài chính-BHXH Tỉnh, GD&amp;ĐT-Y tế, Sở GD&amp;ĐT về công tác YTTH, BHYT học sinh.</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2. Kiện toàn và nâng cao chất lượng hoạt động Ban chăm sóc sức khỏe học sinh của </w:t>
      </w:r>
      <w:r w:rsidR="00A6170A">
        <w:rPr>
          <w:rFonts w:ascii="Times New Roman" w:hAnsi="Times New Roman" w:cs="Times New Roman"/>
          <w:sz w:val="28"/>
          <w:szCs w:val="28"/>
        </w:rPr>
        <w:t xml:space="preserve">nhà </w:t>
      </w:r>
      <w:r w:rsidRPr="00014734">
        <w:rPr>
          <w:rFonts w:ascii="Times New Roman" w:hAnsi="Times New Roman" w:cs="Times New Roman"/>
          <w:sz w:val="28"/>
          <w:szCs w:val="28"/>
        </w:rPr>
        <w:t xml:space="preserve">trường học (xây dựng kế hoạch công tác, phân công nhiệm vụ cụ thể các thành viên, phối hợp chỉ đạo, tổ chức thực hiện nhiệm vụ, sơ kết, tổng kết công tác,...).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3. Triển khai thực hiện công tác y tế tại </w:t>
      </w:r>
      <w:r w:rsidR="00A6170A">
        <w:rPr>
          <w:rFonts w:ascii="Times New Roman" w:hAnsi="Times New Roman" w:cs="Times New Roman"/>
          <w:sz w:val="28"/>
          <w:szCs w:val="28"/>
        </w:rPr>
        <w:t xml:space="preserve"> nhà</w:t>
      </w:r>
      <w:r w:rsidRPr="00014734">
        <w:rPr>
          <w:rFonts w:ascii="Times New Roman" w:hAnsi="Times New Roman" w:cs="Times New Roman"/>
          <w:sz w:val="28"/>
          <w:szCs w:val="28"/>
        </w:rPr>
        <w:t xml:space="preserve"> trường: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w:t>
      </w:r>
      <w:r w:rsidR="00A6170A">
        <w:rPr>
          <w:rFonts w:ascii="Times New Roman" w:hAnsi="Times New Roman" w:cs="Times New Roman"/>
          <w:sz w:val="28"/>
          <w:szCs w:val="28"/>
        </w:rPr>
        <w:t>Nhân</w:t>
      </w:r>
      <w:r w:rsidRPr="00014734">
        <w:rPr>
          <w:rFonts w:ascii="Times New Roman" w:hAnsi="Times New Roman" w:cs="Times New Roman"/>
          <w:sz w:val="28"/>
          <w:szCs w:val="28"/>
        </w:rPr>
        <w:t xml:space="preserve"> viên y tế phải thực hiện đầy đủ các nhiệm vụ quy định tại Điều 9, Điều 10, Điều 11 của Thông tư số 13 và các nhiệm vụ khác do Lãnh đạo nhà trường phân công.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4. Về hồ sơ, sổ sách và báo cáo công tác YTTH: Tiếp tục thực hiện theo quy định tại Thông tư số 13 và chỉ đạo của Phòng Giáo dục và Đào tạo tại Công </w:t>
      </w:r>
      <w:r w:rsidRPr="00014734">
        <w:rPr>
          <w:rFonts w:ascii="Times New Roman" w:hAnsi="Times New Roman" w:cs="Times New Roman"/>
          <w:sz w:val="28"/>
          <w:szCs w:val="28"/>
        </w:rPr>
        <w:lastRenderedPageBreak/>
        <w:t>văn số 234/HD-PGD&amp;ĐT ngày 03/8/2016 (Sổ theo dõi sức khỏe học sinh, Sổ theo dõi tổng hợp tình trạng sức khỏe học sinh, báo cáo công tác YTTH,...)</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5. Bảo đảm việc chăm sóc sức khỏe cho trẻ em, phòng chống xâm hại trẻ em trong các cơ sở giáo dục theo quy định của Luật trẻ em. Tiếp tục thực hiện Chỉ thị số 18/CT-TTg ngày 16/5/2017 của Thủ tướng Chính phủ về việc tăng cường giải pháp phòng, chống bạo lực, xâm hại trẻ em và Chương trình phối hợp số 993/CTr-BYT-BGDĐT ngày 16/11/2012 của Bộ Y tế và Bộ Giáo dục và Đào tạo về bảo vệ, giáo dục và chăm sóc sức khỏe trẻ em, HSSV trong các cơ sở giáo dục thuộc hệ thống giáo dục quốc dân giai đoạn 2012-2020.</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6. Chủ động phối hợp với </w:t>
      </w:r>
      <w:r w:rsidR="00A6170A">
        <w:rPr>
          <w:rFonts w:ascii="Times New Roman" w:hAnsi="Times New Roman" w:cs="Times New Roman"/>
          <w:sz w:val="28"/>
          <w:szCs w:val="28"/>
        </w:rPr>
        <w:t>trạm</w:t>
      </w:r>
      <w:r w:rsidRPr="00014734">
        <w:rPr>
          <w:rFonts w:ascii="Times New Roman" w:hAnsi="Times New Roman" w:cs="Times New Roman"/>
          <w:sz w:val="28"/>
          <w:szCs w:val="28"/>
        </w:rPr>
        <w:t xml:space="preserve"> Y t</w:t>
      </w:r>
      <w:r w:rsidR="00A6170A">
        <w:rPr>
          <w:rFonts w:ascii="Times New Roman" w:hAnsi="Times New Roman" w:cs="Times New Roman"/>
          <w:sz w:val="28"/>
          <w:szCs w:val="28"/>
        </w:rPr>
        <w:t xml:space="preserve">ế xã Minh Cầm </w:t>
      </w:r>
      <w:r w:rsidRPr="00014734">
        <w:rPr>
          <w:rFonts w:ascii="Times New Roman" w:hAnsi="Times New Roman" w:cs="Times New Roman"/>
          <w:sz w:val="28"/>
          <w:szCs w:val="28"/>
        </w:rPr>
        <w:t>tổ chức các hoạt động phòng, chống các dịch, bệnh, tật trong trường học (cúm A H1N1, cúm AH5N1, cúm AH7N9 và các chủng vi rút cúm gia cầm lây sang người, tay chân miệng, sởi, rubella, sốt xuất huyết, lao, hội chứng viêm đường hô hấp cấp vùng Trung Đông do vi rút Corona “Mers-Cov”, nha học đường, mắt học đường, cong vẹo cột sống, sốt rét, giun sán,...) và các dịch bệnh mới xuất hiện theo các văn bản chỉ đạo của Thủ tướng Chính phủ, Bộ Y tế, Bộ GD&amp;ĐT, Ủy ban nhân dân tỉnh, Sở Y tế, Sở GD&amp;DT, Phòng GD&amp;Đ ban hành. Tham gia và tổ chức các hội nghị, hội thảo, tập huấn các cấp về chuyên môn, nghiệp vụ công tác YTTH.</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7. Tổ chức thực hiện đầy đủ các quy định về vệ sinh tr</w:t>
      </w:r>
      <w:r w:rsidRPr="00014734">
        <w:rPr>
          <w:rFonts w:ascii="Times New Roman" w:hAnsi="Times New Roman" w:cs="Times New Roman"/>
          <w:sz w:val="28"/>
          <w:szCs w:val="28"/>
        </w:rPr>
        <w:softHyphen/>
        <w:t xml:space="preserve">ường học; thực hiện bảo quản, tiêu hủy hóa chất, chất thải sau thí nghiệm đúng quy trình quy định vệ sinh môi trường; đảm bảo dinh dưỡng, vệ sinh an toàn thực phẩm; phòng, chống HIV/AIDS theo Kế hoạch hành động phòng, chống HIV/AIDS của ngành Giáo dục giai đoạn 2012-2020 ban hành kèm theo Quyết định số 5330/QĐ-BGDĐT ngày 29/11/2012; truyền thông giáo dục phòng, chống tác hại của thuốc lá, lạm dụng rượu bia (Chỉ thị số 6036/CT-BGDĐT ngày 17/12/2014 về phòng chống tác hại của lạm dụng rượu bia và đồ uống có cồn); triển khai Đề án “Thông tin, truyền thông về ứng phó với biến đổi khí hậu và phòng, chống thiên tai trong trường học giai đoạn 2013 - 2020” theo Quyết định số 329/QĐ-BGDĐT ngày 25/01/2014 của Bộ  Bộ Giáo dục và Đào tạo.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8. Tiếp tục triển khai các quy định về hoạt động Chữ Thập đỏ trong trường học theo Thông tư số 07/2014/TT-BGDĐT ngày 14/3/2014 của Bộ trưởng Bộ Giáo dục và Đào tạo; Công văn số 99/PGD&amp;ĐT ngày 06/5/2014 của Phòng Giáo dục và Đào tạo về việc triển khai Thông tư  Quy định về hoạt động Chữ thập đỏ trong trường học. Tích cực hưởng ứng các hoạt động truyền thông hưởng ứng Ngày toàn dân hiến máu nhân đạo (7/4/2018).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9. Đảm bảo môi trường nhà trường xanh, sạch, đẹp, an toàn;  triển khai thực hiện Kế hoạch Liên ngành số 3970/KHLN- BLĐTBXH-BGDĐT ngày 15/10/2013 của Bộ LĐTBXH và Bộ Giáo dục và Đào tạo và Kế hoạch hành động vì trẻ em số 129/KH-BGDĐT ngày 07/02/2013 của ngành Giáo dục và Đào tạo giai đoạn 2013 - 2020; tổ chức triển khai thực hiện Đề án Giáo dục chuyển đổi hành vi về xây dựng gia đình và phòng, chống bạo lực gia đình đến năm 2020 ban hành kèm theo Quyết định số 2170/QĐ-TTg ngày 11/11/2013 của Thủ tướng Chính phủ.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lastRenderedPageBreak/>
        <w:t>10. Tiếp tục đẩy mạnh công tác tuyên truyền, vận động HS tham gia bảo hiểm y tế bắt buộc theo qui định tại Luật số 46/2014/QH13 ngày 13/6/2014 sửa đổi, bổ sung một số điều của Luật bảo hiểm y tế và Nghị định số 105/2014/NĐ-CP ngày 15/11/2015 của Chính phủ qui định chi tiết và hướng dẫn thi hành một số Điều của Luật Bảo hiểm y tế; Thông tư liên tịch số 41/2014/TTLT-BYT-BTC ngày 24/11/2014 của liên Bộ Y tế - Tài chính hướng dẫn thực hiện bảo hiểm y tế; Hướng dẫn số 2122/HD-LN ngày 22/8/2017 của liên Sở GD&amp;ĐT-TC- YT-BHXH.  Phấn đấu đến cuối năm 2017, đạt tỷ lệ 100% học sinh tham gia bảo hiểm y tế theo chỉ đạo của Thủ tướng Chính phủ, Bộ Giáo dục và Đào tạo và Ủy ban nhân dân tỉnh.</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11. Tổ chức các hoạt động giáo dục ngoài giờ lên lớp và truyền thông về giáo dục sức khỏe; giáo dục dân số, gia đình và phòng, chống bạo lực gia đình, giáo dục giới tính, sức khoẻ sinh sản vị thành niên; Ngày toàn dân hiến máu nhân đạo (7/4/2018); Ngày thế giới không thuốc lá (31/5/2018); Tuần lễ quốc gia vệ sinh an toàn thực phẩm; Ngày vệ sinh yêu nước (2/7/2018); Ngày thế giới phòng, chống HIV/AIDS (1/12/2017).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12. Tiếp tục thực hiện công tác nước sạch vệ sinh môi trường theo Quyết định số 1838/QĐ-UBND tỉnh Quảng Ninh về việc phê duyệt kế hoạch thực hiện chương trình nước sạch và vệ sinh môi trường nông thôn tỉnh Quảng Ninh giai đoạn 2013-2017 và hướng dẫn công tác truyền thông nâng cao kiến thức về nước sạch vệ sinh môi trường năm học 2017-2018 của Sở Giáo dục và Đào tạo. Tích cực hưởng ứng Tuần lễ quốc gia nước sạch, vệ sinh môi trường; Ngày môi trường thế giới (5/6/2018). Tăng cường công tác kiểm tra, kiểm định chất lượng nước dùng trong ăn uống, sinh hoạt tại các trường học trên địa bàn tỉnh Quảng Ninh theo chỉ đạo của Sở GD&amp;ĐT tại Công văn số 2978/SGDĐT ngày 08/12/2015.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13. Công tác phòng, chống tai nạn thương tích: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Tiếp tục thực hiện công tác xây dựng trường học an toàn, phòng, chống tai nạn thương tích theo Thông tư số 13/2010/TT-BGDĐT ngày 15/4/2010 quy định về xây dựng trường học an toàn, phòng chống, tai nạn thương tích trong cơ sở giáo dục mầm non; Quyết định số 4458/QĐ-BGDĐT ngày 22/8/2007 quy định về xây dựng trường học an toàn, phòng chống tai nạn thương tích trong các trường phổ thông và Công văn số 3718/SGDĐT-CNTT&amp;CTHSSV ngày 19/12/2013 của Sở Giáo dục và Đào tạo về Hướng dẫn triển khai thực hiện công tác xây dựng trường học an toàn phòng chống tai nạn thương tích từ năm học 2013-2014. </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 xml:space="preserve">- Tiếp tục thực hiện có hiệu quả công tác đảm bảo an toàn, vệ sinh lao động, phòng chống cháy nổ trong </w:t>
      </w:r>
      <w:r w:rsidR="005801B0">
        <w:rPr>
          <w:rFonts w:ascii="Times New Roman" w:hAnsi="Times New Roman" w:cs="Times New Roman"/>
          <w:sz w:val="28"/>
          <w:szCs w:val="28"/>
        </w:rPr>
        <w:t>nhà trường</w:t>
      </w:r>
      <w:r w:rsidRPr="00014734">
        <w:rPr>
          <w:rFonts w:ascii="Times New Roman" w:hAnsi="Times New Roman" w:cs="Times New Roman"/>
          <w:sz w:val="28"/>
          <w:szCs w:val="28"/>
        </w:rPr>
        <w:t xml:space="preserve">, có kế hoạch thống kê, kiểm soát, bảo quản, thu gom và xử lý các hóa chất độc hại nguy hiểm trong nhà trường. Thường xuyên rà soát, kiểm tra hệ thống cơ sở vật chất, loại bỏ các vật dụng có thể gây tai nạn đối với </w:t>
      </w:r>
      <w:r w:rsidR="005801B0">
        <w:rPr>
          <w:rFonts w:ascii="Times New Roman" w:hAnsi="Times New Roman" w:cs="Times New Roman"/>
          <w:sz w:val="28"/>
          <w:szCs w:val="28"/>
        </w:rPr>
        <w:t>học sinh</w:t>
      </w:r>
      <w:r w:rsidRPr="00014734">
        <w:rPr>
          <w:rFonts w:ascii="Times New Roman" w:hAnsi="Times New Roman" w:cs="Times New Roman"/>
          <w:sz w:val="28"/>
          <w:szCs w:val="28"/>
        </w:rPr>
        <w:t>; tăng cường giáo dục HSSV kỹ năng phòng, tránh các loại hình tai nạn thương tích trong môi trường nhà trường và ngoài cộng đồng.</w:t>
      </w:r>
    </w:p>
    <w:p w:rsidR="00014734" w:rsidRPr="00205AAB" w:rsidRDefault="00014734" w:rsidP="00014734">
      <w:pPr>
        <w:spacing w:before="60" w:after="60" w:line="320" w:lineRule="exact"/>
        <w:ind w:firstLine="567"/>
        <w:jc w:val="both"/>
        <w:rPr>
          <w:rFonts w:ascii="Times New Roman" w:hAnsi="Times New Roman" w:cs="Times New Roman"/>
          <w:b/>
          <w:sz w:val="26"/>
          <w:szCs w:val="26"/>
        </w:rPr>
      </w:pPr>
      <w:r w:rsidRPr="00205AAB">
        <w:rPr>
          <w:rFonts w:ascii="Times New Roman" w:hAnsi="Times New Roman" w:cs="Times New Roman"/>
          <w:b/>
          <w:sz w:val="26"/>
          <w:szCs w:val="26"/>
        </w:rPr>
        <w:t>C. TỔ CHỨC THỰC HIỆN</w:t>
      </w:r>
    </w:p>
    <w:p w:rsidR="00014734" w:rsidRPr="00014734" w:rsidRDefault="005801B0" w:rsidP="00014734">
      <w:pPr>
        <w:spacing w:before="60" w:after="60" w:line="32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Nhà trường bám sát</w:t>
      </w:r>
      <w:r w:rsidR="00014734" w:rsidRPr="00014734">
        <w:rPr>
          <w:rFonts w:ascii="Times New Roman" w:hAnsi="Times New Roman" w:cs="Times New Roman"/>
          <w:sz w:val="28"/>
          <w:szCs w:val="28"/>
        </w:rPr>
        <w:t xml:space="preserve"> Hướng dẫn công tác giáo dục thể chất, hoạt động thể thao và y tế trường học năm học 2017-2018 </w:t>
      </w:r>
      <w:r w:rsidR="002527C2">
        <w:rPr>
          <w:rFonts w:ascii="Times New Roman" w:hAnsi="Times New Roman" w:cs="Times New Roman"/>
          <w:sz w:val="28"/>
          <w:szCs w:val="28"/>
        </w:rPr>
        <w:t xml:space="preserve">của Phòng GD&amp;ĐT để xây dụng kế hoạch </w:t>
      </w:r>
      <w:r w:rsidR="002527C2" w:rsidRPr="00014734">
        <w:rPr>
          <w:rFonts w:ascii="Times New Roman" w:hAnsi="Times New Roman" w:cs="Times New Roman"/>
          <w:sz w:val="28"/>
          <w:szCs w:val="28"/>
        </w:rPr>
        <w:t>phổ biến tới toàn thể cán bộ, giáo viên, nhân viên, học sinh nghiên cứu, quán triệt thực hiện</w:t>
      </w:r>
      <w:r w:rsidR="00014734" w:rsidRPr="00014734">
        <w:rPr>
          <w:rFonts w:ascii="Times New Roman" w:hAnsi="Times New Roman" w:cs="Times New Roman"/>
          <w:sz w:val="28"/>
          <w:szCs w:val="28"/>
        </w:rPr>
        <w:t>.</w:t>
      </w:r>
    </w:p>
    <w:p w:rsidR="00014734" w:rsidRPr="00205AAB" w:rsidRDefault="00014734" w:rsidP="00014734">
      <w:pPr>
        <w:spacing w:before="60" w:after="60" w:line="320" w:lineRule="exact"/>
        <w:ind w:firstLine="567"/>
        <w:jc w:val="both"/>
        <w:rPr>
          <w:rFonts w:ascii="Times New Roman" w:hAnsi="Times New Roman" w:cs="Times New Roman"/>
          <w:b/>
          <w:sz w:val="26"/>
          <w:szCs w:val="26"/>
        </w:rPr>
      </w:pPr>
      <w:r w:rsidRPr="00205AAB">
        <w:rPr>
          <w:rFonts w:ascii="Times New Roman" w:hAnsi="Times New Roman" w:cs="Times New Roman"/>
          <w:b/>
          <w:sz w:val="26"/>
          <w:szCs w:val="26"/>
        </w:rPr>
        <w:t>D. CHẾ ĐỘ BÁO CÁO</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1. Báo cáo đầu năm học: Báo cáo kế hoạch triển khai công tác giáo dục thể chất, hoạt động thể thao và y tế trường học năm học 2017-2018 gửi trước ngày 15/9/2017.</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2. Báo cáo định kỳ: Báo cáo sơ kết công tác giáo dục thể chất, hoạt động thể thao và YTTH  học kỳ I, năm học 2017-2018, gửi trước ngày 05/01/2018; Báo cáo tổng kết công tác giáo dục thể chất, hoạt động thể thao và YTTH năm học 2017-2018 gửi trước ngày 10/6/2018.</w:t>
      </w:r>
    </w:p>
    <w:p w:rsidR="00014734" w:rsidRPr="00014734" w:rsidRDefault="00014734" w:rsidP="00014734">
      <w:pPr>
        <w:spacing w:before="60" w:after="60" w:line="320" w:lineRule="exact"/>
        <w:ind w:firstLine="567"/>
        <w:jc w:val="both"/>
        <w:rPr>
          <w:rFonts w:ascii="Times New Roman" w:hAnsi="Times New Roman" w:cs="Times New Roman"/>
          <w:sz w:val="28"/>
          <w:szCs w:val="28"/>
        </w:rPr>
      </w:pPr>
      <w:r w:rsidRPr="00014734">
        <w:rPr>
          <w:rFonts w:ascii="Times New Roman" w:hAnsi="Times New Roman" w:cs="Times New Roman"/>
          <w:sz w:val="28"/>
          <w:szCs w:val="28"/>
        </w:rPr>
        <w:t>3. Báo cáo đột xuất khi được yêu cầu và có vụ việc xảy ra (kể cả khi đã giải quyết).</w:t>
      </w:r>
    </w:p>
    <w:p w:rsidR="00177F05" w:rsidRPr="00014734" w:rsidRDefault="002527C2" w:rsidP="00177F05">
      <w:pPr>
        <w:spacing w:before="60" w:after="6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Trên đây là toàn bộ kế hoạch triển khai công tác </w:t>
      </w:r>
      <w:r w:rsidRPr="00014734">
        <w:rPr>
          <w:rFonts w:ascii="Times New Roman" w:hAnsi="Times New Roman" w:cs="Times New Roman"/>
          <w:sz w:val="28"/>
          <w:szCs w:val="28"/>
        </w:rPr>
        <w:t>giáo dục thể chất, hoạt động thể thao và YTTH năm học 2017-2018</w:t>
      </w:r>
      <w:r>
        <w:rPr>
          <w:rFonts w:ascii="Times New Roman" w:hAnsi="Times New Roman" w:cs="Times New Roman"/>
          <w:sz w:val="28"/>
          <w:szCs w:val="28"/>
        </w:rPr>
        <w:t xml:space="preserve"> của trường tiểu học Minh Cầm</w:t>
      </w:r>
      <w:r w:rsidR="00177F05">
        <w:rPr>
          <w:rFonts w:ascii="Times New Roman" w:hAnsi="Times New Roman" w:cs="Times New Roman"/>
          <w:sz w:val="28"/>
          <w:szCs w:val="28"/>
        </w:rPr>
        <w:t xml:space="preserve">. Nhà trường đề nghị </w:t>
      </w:r>
      <w:r w:rsidR="00177F05" w:rsidRPr="00014734">
        <w:rPr>
          <w:rFonts w:ascii="Times New Roman" w:hAnsi="Times New Roman" w:cs="Times New Roman"/>
          <w:sz w:val="28"/>
          <w:szCs w:val="28"/>
        </w:rPr>
        <w:t>toàn thể cán bộ, giáo viên, nhân viên, học sinh nghiên cứu</w:t>
      </w:r>
      <w:r w:rsidR="00177F05">
        <w:rPr>
          <w:rFonts w:ascii="Times New Roman" w:hAnsi="Times New Roman" w:cs="Times New Roman"/>
          <w:sz w:val="28"/>
          <w:szCs w:val="28"/>
        </w:rPr>
        <w:t xml:space="preserve"> và nghiêm túc</w:t>
      </w:r>
      <w:r w:rsidR="00177F05" w:rsidRPr="00014734">
        <w:rPr>
          <w:rFonts w:ascii="Times New Roman" w:hAnsi="Times New Roman" w:cs="Times New Roman"/>
          <w:sz w:val="28"/>
          <w:szCs w:val="28"/>
        </w:rPr>
        <w:t xml:space="preserve"> thực hiện.</w:t>
      </w:r>
    </w:p>
    <w:p w:rsidR="00014734" w:rsidRPr="00014734" w:rsidRDefault="00177F05" w:rsidP="00177F05">
      <w:pPr>
        <w:spacing w:before="60" w:after="6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163" w:type="dxa"/>
        <w:tblInd w:w="108" w:type="dxa"/>
        <w:tblLook w:val="01E0"/>
      </w:tblPr>
      <w:tblGrid>
        <w:gridCol w:w="4862"/>
        <w:gridCol w:w="4301"/>
      </w:tblGrid>
      <w:tr w:rsidR="00014734" w:rsidRPr="00014734" w:rsidTr="005047F5">
        <w:trPr>
          <w:trHeight w:val="2713"/>
        </w:trPr>
        <w:tc>
          <w:tcPr>
            <w:tcW w:w="4862" w:type="dxa"/>
            <w:hideMark/>
          </w:tcPr>
          <w:p w:rsidR="00014734" w:rsidRPr="00800420" w:rsidRDefault="00014734" w:rsidP="00177F05">
            <w:pPr>
              <w:spacing w:after="0" w:line="240" w:lineRule="auto"/>
              <w:ind w:left="-108"/>
              <w:rPr>
                <w:rFonts w:ascii="Times New Roman" w:eastAsia="Times New Roman" w:hAnsi="Times New Roman" w:cs="Times New Roman"/>
                <w:b/>
                <w:bCs/>
                <w:i/>
                <w:iCs/>
                <w:sz w:val="24"/>
                <w:szCs w:val="24"/>
                <w:lang w:val="fr-FR"/>
              </w:rPr>
            </w:pPr>
            <w:r w:rsidRPr="00800420">
              <w:rPr>
                <w:rFonts w:ascii="Times New Roman" w:hAnsi="Times New Roman" w:cs="Times New Roman"/>
                <w:b/>
                <w:bCs/>
                <w:i/>
                <w:iCs/>
                <w:sz w:val="24"/>
                <w:szCs w:val="24"/>
                <w:lang w:val="fr-FR"/>
              </w:rPr>
              <w:t>Nơi nhận:</w:t>
            </w:r>
          </w:p>
          <w:p w:rsidR="00014734" w:rsidRPr="00800420" w:rsidRDefault="00014734" w:rsidP="00177F05">
            <w:pPr>
              <w:spacing w:after="0" w:line="240" w:lineRule="auto"/>
              <w:ind w:left="-108"/>
              <w:rPr>
                <w:rFonts w:ascii="Times New Roman" w:hAnsi="Times New Roman" w:cs="Times New Roman"/>
                <w:bCs/>
                <w:iCs/>
                <w:sz w:val="26"/>
                <w:szCs w:val="26"/>
                <w:lang w:val="fr-FR"/>
              </w:rPr>
            </w:pPr>
            <w:r w:rsidRPr="00800420">
              <w:rPr>
                <w:rFonts w:ascii="Times New Roman" w:hAnsi="Times New Roman" w:cs="Times New Roman"/>
                <w:bCs/>
                <w:iCs/>
                <w:sz w:val="26"/>
                <w:szCs w:val="26"/>
                <w:lang w:val="fr-FR"/>
              </w:rPr>
              <w:t>- Phòng GD&amp;ĐT (B/c);</w:t>
            </w:r>
          </w:p>
          <w:p w:rsidR="00014734" w:rsidRPr="00800420" w:rsidRDefault="00014734" w:rsidP="00177F05">
            <w:pPr>
              <w:spacing w:after="0" w:line="240" w:lineRule="auto"/>
              <w:ind w:left="-108"/>
              <w:rPr>
                <w:rFonts w:ascii="Times New Roman" w:hAnsi="Times New Roman" w:cs="Times New Roman"/>
                <w:bCs/>
                <w:iCs/>
                <w:sz w:val="26"/>
                <w:szCs w:val="26"/>
                <w:lang w:val="fr-FR"/>
              </w:rPr>
            </w:pPr>
            <w:r w:rsidRPr="00800420">
              <w:rPr>
                <w:rFonts w:ascii="Times New Roman" w:hAnsi="Times New Roman" w:cs="Times New Roman"/>
                <w:bCs/>
                <w:iCs/>
                <w:sz w:val="26"/>
                <w:szCs w:val="26"/>
                <w:lang w:val="fr-FR"/>
              </w:rPr>
              <w:t xml:space="preserve">- </w:t>
            </w:r>
            <w:r w:rsidR="00177F05" w:rsidRPr="00800420">
              <w:rPr>
                <w:rFonts w:ascii="Times New Roman" w:hAnsi="Times New Roman" w:cs="Times New Roman"/>
                <w:bCs/>
                <w:iCs/>
                <w:sz w:val="26"/>
                <w:szCs w:val="26"/>
                <w:lang w:val="fr-FR"/>
              </w:rPr>
              <w:t>Nhà trường</w:t>
            </w:r>
            <w:r w:rsidRPr="00800420">
              <w:rPr>
                <w:rFonts w:ascii="Times New Roman" w:hAnsi="Times New Roman" w:cs="Times New Roman"/>
                <w:bCs/>
                <w:iCs/>
                <w:sz w:val="26"/>
                <w:szCs w:val="26"/>
                <w:lang w:val="fr-FR"/>
              </w:rPr>
              <w:t xml:space="preserve"> (T/h);</w:t>
            </w:r>
          </w:p>
          <w:p w:rsidR="00014734" w:rsidRPr="00014734" w:rsidRDefault="00800420" w:rsidP="00177F05">
            <w:pPr>
              <w:spacing w:after="0" w:line="240" w:lineRule="auto"/>
              <w:ind w:left="-108"/>
              <w:rPr>
                <w:rFonts w:ascii="Times New Roman" w:hAnsi="Times New Roman" w:cs="Times New Roman"/>
                <w:bCs/>
                <w:iCs/>
                <w:sz w:val="28"/>
                <w:szCs w:val="28"/>
                <w:lang w:val="fr-FR"/>
              </w:rPr>
            </w:pPr>
            <w:r>
              <w:rPr>
                <w:rFonts w:ascii="Times New Roman" w:hAnsi="Times New Roman" w:cs="Times New Roman"/>
                <w:bCs/>
                <w:iCs/>
                <w:sz w:val="26"/>
                <w:szCs w:val="26"/>
                <w:lang w:val="fr-FR"/>
              </w:rPr>
              <w:t xml:space="preserve">- </w:t>
            </w:r>
            <w:r w:rsidR="00014734" w:rsidRPr="00800420">
              <w:rPr>
                <w:rFonts w:ascii="Times New Roman" w:hAnsi="Times New Roman" w:cs="Times New Roman"/>
                <w:bCs/>
                <w:iCs/>
                <w:sz w:val="26"/>
                <w:szCs w:val="26"/>
                <w:lang w:val="fr-FR"/>
              </w:rPr>
              <w:t xml:space="preserve">Lưu: VT, Đ/c </w:t>
            </w:r>
            <w:r w:rsidR="00177F05" w:rsidRPr="00800420">
              <w:rPr>
                <w:rFonts w:ascii="Times New Roman" w:hAnsi="Times New Roman" w:cs="Times New Roman"/>
                <w:bCs/>
                <w:iCs/>
                <w:sz w:val="26"/>
                <w:szCs w:val="26"/>
                <w:lang w:val="fr-FR"/>
              </w:rPr>
              <w:t>Nghị</w:t>
            </w:r>
            <w:r w:rsidR="00014734" w:rsidRPr="00800420">
              <w:rPr>
                <w:rFonts w:ascii="Times New Roman" w:hAnsi="Times New Roman" w:cs="Times New Roman"/>
                <w:bCs/>
                <w:iCs/>
                <w:sz w:val="26"/>
                <w:szCs w:val="26"/>
                <w:lang w:val="fr-FR"/>
              </w:rPr>
              <w:t>.</w:t>
            </w:r>
          </w:p>
        </w:tc>
        <w:tc>
          <w:tcPr>
            <w:tcW w:w="4301" w:type="dxa"/>
          </w:tcPr>
          <w:p w:rsidR="00014734" w:rsidRPr="00014734" w:rsidRDefault="00014734" w:rsidP="00177F05">
            <w:pPr>
              <w:spacing w:after="0" w:line="240" w:lineRule="auto"/>
              <w:jc w:val="center"/>
              <w:rPr>
                <w:rFonts w:ascii="Times New Roman" w:eastAsia="Times New Roman" w:hAnsi="Times New Roman" w:cs="Times New Roman"/>
                <w:b/>
                <w:sz w:val="28"/>
                <w:szCs w:val="28"/>
              </w:rPr>
            </w:pPr>
            <w:r w:rsidRPr="00014734">
              <w:rPr>
                <w:rFonts w:ascii="Times New Roman" w:hAnsi="Times New Roman" w:cs="Times New Roman"/>
                <w:b/>
                <w:sz w:val="28"/>
                <w:szCs w:val="28"/>
              </w:rPr>
              <w:t xml:space="preserve">KT. </w:t>
            </w:r>
            <w:r w:rsidR="00CA144E">
              <w:rPr>
                <w:rFonts w:ascii="Times New Roman" w:hAnsi="Times New Roman" w:cs="Times New Roman"/>
                <w:b/>
                <w:sz w:val="28"/>
                <w:szCs w:val="28"/>
              </w:rPr>
              <w:t xml:space="preserve">HIỆU </w:t>
            </w:r>
            <w:r w:rsidRPr="00014734">
              <w:rPr>
                <w:rFonts w:ascii="Times New Roman" w:hAnsi="Times New Roman" w:cs="Times New Roman"/>
                <w:b/>
                <w:sz w:val="28"/>
                <w:szCs w:val="28"/>
              </w:rPr>
              <w:t xml:space="preserve">TRƯỞNG </w:t>
            </w:r>
          </w:p>
          <w:p w:rsidR="00014734" w:rsidRPr="00014734" w:rsidRDefault="00014734" w:rsidP="00177F05">
            <w:pPr>
              <w:spacing w:after="0" w:line="240" w:lineRule="auto"/>
              <w:jc w:val="center"/>
              <w:rPr>
                <w:rFonts w:ascii="Times New Roman" w:hAnsi="Times New Roman" w:cs="Times New Roman"/>
                <w:b/>
                <w:sz w:val="28"/>
                <w:szCs w:val="28"/>
              </w:rPr>
            </w:pPr>
            <w:r w:rsidRPr="00014734">
              <w:rPr>
                <w:rFonts w:ascii="Times New Roman" w:hAnsi="Times New Roman" w:cs="Times New Roman"/>
                <w:b/>
                <w:sz w:val="28"/>
                <w:szCs w:val="28"/>
              </w:rPr>
              <w:t xml:space="preserve">PHÓ </w:t>
            </w:r>
            <w:r w:rsidR="00CA144E">
              <w:rPr>
                <w:rFonts w:ascii="Times New Roman" w:hAnsi="Times New Roman" w:cs="Times New Roman"/>
                <w:b/>
                <w:sz w:val="28"/>
                <w:szCs w:val="28"/>
              </w:rPr>
              <w:t xml:space="preserve"> HIỆU </w:t>
            </w:r>
            <w:r w:rsidRPr="00014734">
              <w:rPr>
                <w:rFonts w:ascii="Times New Roman" w:hAnsi="Times New Roman" w:cs="Times New Roman"/>
                <w:b/>
                <w:sz w:val="28"/>
                <w:szCs w:val="28"/>
              </w:rPr>
              <w:t xml:space="preserve">TRƯỞNG </w:t>
            </w:r>
          </w:p>
          <w:p w:rsidR="00014734" w:rsidRPr="00014734" w:rsidRDefault="00014734" w:rsidP="00177F05">
            <w:pPr>
              <w:spacing w:after="0" w:line="240" w:lineRule="auto"/>
              <w:jc w:val="center"/>
              <w:rPr>
                <w:rFonts w:ascii="Times New Roman" w:hAnsi="Times New Roman" w:cs="Times New Roman"/>
                <w:b/>
                <w:sz w:val="28"/>
                <w:szCs w:val="28"/>
              </w:rPr>
            </w:pPr>
          </w:p>
          <w:p w:rsidR="00014734" w:rsidRPr="00DB1E55" w:rsidRDefault="005047F5" w:rsidP="00177F05">
            <w:pPr>
              <w:spacing w:after="0" w:line="240" w:lineRule="auto"/>
              <w:jc w:val="center"/>
              <w:rPr>
                <w:rFonts w:ascii="Times New Roman" w:hAnsi="Times New Roman" w:cs="Times New Roman"/>
                <w:sz w:val="28"/>
                <w:szCs w:val="28"/>
              </w:rPr>
            </w:pPr>
            <w:r w:rsidRPr="00DB1E55">
              <w:rPr>
                <w:rFonts w:ascii="Times New Roman" w:hAnsi="Times New Roman" w:cs="Times New Roman"/>
                <w:sz w:val="28"/>
                <w:szCs w:val="28"/>
              </w:rPr>
              <w:t>(Đã ký)</w:t>
            </w:r>
          </w:p>
          <w:p w:rsidR="00CA144E" w:rsidRDefault="00CA144E" w:rsidP="00177F05">
            <w:pPr>
              <w:spacing w:after="0" w:line="240" w:lineRule="auto"/>
              <w:jc w:val="center"/>
              <w:rPr>
                <w:rFonts w:ascii="Times New Roman" w:hAnsi="Times New Roman" w:cs="Times New Roman"/>
                <w:b/>
                <w:sz w:val="28"/>
                <w:szCs w:val="28"/>
              </w:rPr>
            </w:pPr>
          </w:p>
          <w:p w:rsidR="00CA144E" w:rsidRPr="00014734" w:rsidRDefault="00CA144E" w:rsidP="00177F05">
            <w:pPr>
              <w:spacing w:after="0" w:line="240" w:lineRule="auto"/>
              <w:jc w:val="center"/>
              <w:rPr>
                <w:rFonts w:ascii="Times New Roman" w:hAnsi="Times New Roman" w:cs="Times New Roman"/>
                <w:b/>
                <w:sz w:val="28"/>
                <w:szCs w:val="28"/>
              </w:rPr>
            </w:pPr>
          </w:p>
          <w:p w:rsidR="00014734" w:rsidRPr="00014734" w:rsidRDefault="00014734" w:rsidP="00177F05">
            <w:pPr>
              <w:spacing w:after="0" w:line="240" w:lineRule="auto"/>
              <w:jc w:val="center"/>
              <w:rPr>
                <w:rFonts w:ascii="Times New Roman" w:hAnsi="Times New Roman" w:cs="Times New Roman"/>
                <w:b/>
                <w:sz w:val="28"/>
                <w:szCs w:val="28"/>
              </w:rPr>
            </w:pPr>
          </w:p>
          <w:p w:rsidR="00014734" w:rsidRPr="00014734" w:rsidRDefault="00014734" w:rsidP="00177F05">
            <w:pPr>
              <w:spacing w:after="0" w:line="240" w:lineRule="auto"/>
              <w:jc w:val="center"/>
              <w:rPr>
                <w:rFonts w:ascii="Times New Roman" w:hAnsi="Times New Roman" w:cs="Times New Roman"/>
                <w:b/>
                <w:sz w:val="28"/>
                <w:szCs w:val="28"/>
              </w:rPr>
            </w:pPr>
          </w:p>
          <w:p w:rsidR="00014734" w:rsidRPr="00014734" w:rsidRDefault="005047F5" w:rsidP="00800420">
            <w:pPr>
              <w:spacing w:after="0" w:line="240" w:lineRule="auto"/>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Phạm Thùy Linh</w:t>
            </w:r>
          </w:p>
        </w:tc>
      </w:tr>
    </w:tbl>
    <w:p w:rsidR="00014734" w:rsidRDefault="00014734" w:rsidP="00014734">
      <w:pPr>
        <w:spacing w:before="240" w:after="240"/>
        <w:rPr>
          <w:rFonts w:ascii="Times New Roman" w:hAnsi="Times New Roman" w:cs="Times New Roman"/>
          <w:b/>
          <w:bCs/>
          <w:spacing w:val="-4"/>
          <w:sz w:val="28"/>
          <w:szCs w:val="28"/>
        </w:rPr>
      </w:pPr>
    </w:p>
    <w:p w:rsidR="00177F05" w:rsidRDefault="00177F05" w:rsidP="00014734">
      <w:pPr>
        <w:spacing w:before="240" w:after="240"/>
        <w:rPr>
          <w:rFonts w:ascii="Times New Roman" w:hAnsi="Times New Roman" w:cs="Times New Roman"/>
          <w:b/>
          <w:bCs/>
          <w:spacing w:val="-4"/>
          <w:sz w:val="28"/>
          <w:szCs w:val="28"/>
        </w:rPr>
      </w:pPr>
    </w:p>
    <w:p w:rsidR="00177F05" w:rsidRDefault="00177F05" w:rsidP="00014734">
      <w:pPr>
        <w:spacing w:before="240" w:after="240"/>
        <w:rPr>
          <w:rFonts w:ascii="Times New Roman" w:hAnsi="Times New Roman" w:cs="Times New Roman"/>
          <w:b/>
          <w:bCs/>
          <w:spacing w:val="-4"/>
          <w:sz w:val="28"/>
          <w:szCs w:val="28"/>
        </w:rPr>
      </w:pPr>
    </w:p>
    <w:p w:rsidR="00177F05" w:rsidRDefault="00177F05" w:rsidP="00014734">
      <w:pPr>
        <w:spacing w:before="240" w:after="240"/>
        <w:rPr>
          <w:rFonts w:ascii="Times New Roman" w:hAnsi="Times New Roman" w:cs="Times New Roman"/>
          <w:b/>
          <w:bCs/>
          <w:spacing w:val="-4"/>
          <w:sz w:val="28"/>
          <w:szCs w:val="28"/>
        </w:rPr>
      </w:pPr>
    </w:p>
    <w:p w:rsidR="00177F05" w:rsidRDefault="00177F05" w:rsidP="00014734">
      <w:pPr>
        <w:spacing w:before="240" w:after="240"/>
        <w:rPr>
          <w:rFonts w:ascii="Times New Roman" w:hAnsi="Times New Roman" w:cs="Times New Roman"/>
          <w:b/>
          <w:bCs/>
          <w:spacing w:val="-4"/>
          <w:sz w:val="28"/>
          <w:szCs w:val="28"/>
        </w:rPr>
      </w:pPr>
    </w:p>
    <w:p w:rsidR="00177F05" w:rsidRDefault="00177F05" w:rsidP="00014734">
      <w:pPr>
        <w:spacing w:before="240" w:after="240"/>
        <w:rPr>
          <w:rFonts w:ascii="Times New Roman" w:hAnsi="Times New Roman" w:cs="Times New Roman"/>
          <w:b/>
          <w:bCs/>
          <w:spacing w:val="-4"/>
          <w:sz w:val="28"/>
          <w:szCs w:val="28"/>
        </w:rPr>
      </w:pPr>
    </w:p>
    <w:p w:rsidR="00177F05" w:rsidRDefault="00177F05" w:rsidP="00014734">
      <w:pPr>
        <w:spacing w:before="240" w:after="240"/>
        <w:rPr>
          <w:rFonts w:ascii="Times New Roman" w:hAnsi="Times New Roman" w:cs="Times New Roman"/>
          <w:b/>
          <w:bCs/>
          <w:spacing w:val="-4"/>
          <w:sz w:val="28"/>
          <w:szCs w:val="28"/>
        </w:rPr>
      </w:pPr>
    </w:p>
    <w:p w:rsidR="00177F05" w:rsidRDefault="00177F05" w:rsidP="00014734">
      <w:pPr>
        <w:spacing w:before="240" w:after="240"/>
        <w:rPr>
          <w:rFonts w:ascii="Times New Roman" w:hAnsi="Times New Roman" w:cs="Times New Roman"/>
          <w:b/>
          <w:bCs/>
          <w:spacing w:val="-4"/>
          <w:sz w:val="28"/>
          <w:szCs w:val="28"/>
        </w:rPr>
      </w:pPr>
    </w:p>
    <w:p w:rsidR="00236633" w:rsidRDefault="00014734" w:rsidP="00DB1E55">
      <w:pPr>
        <w:spacing w:before="240" w:after="240"/>
        <w:rPr>
          <w:rFonts w:ascii="Times New Roman" w:hAnsi="Times New Roman" w:cs="Times New Roman"/>
          <w:sz w:val="28"/>
          <w:szCs w:val="28"/>
        </w:rPr>
      </w:pPr>
      <w:r>
        <w:rPr>
          <w:rFonts w:ascii="Times New Roman" w:hAnsi="Times New Roman" w:cs="Times New Roman"/>
          <w:b/>
          <w:bCs/>
          <w:spacing w:val="-4"/>
          <w:sz w:val="28"/>
          <w:szCs w:val="28"/>
        </w:rPr>
        <w:lastRenderedPageBreak/>
        <w:tab/>
      </w:r>
      <w:r w:rsidR="00236633">
        <w:rPr>
          <w:spacing w:val="-6"/>
          <w:sz w:val="26"/>
          <w:szCs w:val="26"/>
          <w:lang w:val="nb-NO"/>
        </w:rPr>
        <w:t xml:space="preserve"> </w:t>
      </w:r>
    </w:p>
    <w:sectPr w:rsidR="00236633" w:rsidSect="0023663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36633"/>
    <w:rsid w:val="00014734"/>
    <w:rsid w:val="00073475"/>
    <w:rsid w:val="00177F05"/>
    <w:rsid w:val="00205AAB"/>
    <w:rsid w:val="00236633"/>
    <w:rsid w:val="002527C2"/>
    <w:rsid w:val="005047F5"/>
    <w:rsid w:val="005801B0"/>
    <w:rsid w:val="005F05F8"/>
    <w:rsid w:val="006E0F7E"/>
    <w:rsid w:val="00800420"/>
    <w:rsid w:val="00A6170A"/>
    <w:rsid w:val="00CA144E"/>
    <w:rsid w:val="00DB1E55"/>
    <w:rsid w:val="00E53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36633"/>
    <w:pPr>
      <w:keepNext/>
      <w:spacing w:after="0" w:line="240" w:lineRule="auto"/>
      <w:jc w:val="center"/>
      <w:outlineLvl w:val="1"/>
    </w:pPr>
    <w:rPr>
      <w:rFonts w:ascii=".VnTimeH" w:eastAsia="Arial Unicode MS" w:hAnsi=".VnTimeH" w:cs="Arial Unicode MS"/>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36633"/>
    <w:rPr>
      <w:rFonts w:ascii=".VnTimeH" w:eastAsia="Arial Unicode MS" w:hAnsi=".VnTimeH" w:cs="Arial Unicode MS"/>
      <w:b/>
      <w:sz w:val="26"/>
      <w:szCs w:val="28"/>
    </w:rPr>
  </w:style>
  <w:style w:type="character" w:styleId="Hyperlink">
    <w:name w:val="Hyperlink"/>
    <w:uiPriority w:val="99"/>
    <w:semiHidden/>
    <w:unhideWhenUsed/>
    <w:rsid w:val="00236633"/>
    <w:rPr>
      <w:color w:val="0000FF"/>
      <w:u w:val="single"/>
    </w:rPr>
  </w:style>
  <w:style w:type="paragraph" w:styleId="NormalWeb">
    <w:name w:val="Normal (Web)"/>
    <w:basedOn w:val="Normal"/>
    <w:semiHidden/>
    <w:unhideWhenUsed/>
    <w:rsid w:val="00236633"/>
    <w:pPr>
      <w:spacing w:before="125" w:after="125"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236633"/>
    <w:pPr>
      <w:spacing w:after="0" w:line="240" w:lineRule="auto"/>
      <w:jc w:val="center"/>
    </w:pPr>
    <w:rPr>
      <w:rFonts w:ascii=".VnTimeH" w:eastAsia="Times New Roman" w:hAnsi=".VnTimeH" w:cs="Times New Roman"/>
      <w:b/>
      <w:sz w:val="26"/>
      <w:szCs w:val="24"/>
    </w:rPr>
  </w:style>
  <w:style w:type="character" w:customStyle="1" w:styleId="BodyTextChar">
    <w:name w:val="Body Text Char"/>
    <w:basedOn w:val="DefaultParagraphFont"/>
    <w:link w:val="BodyText"/>
    <w:uiPriority w:val="99"/>
    <w:semiHidden/>
    <w:rsid w:val="00236633"/>
    <w:rPr>
      <w:rFonts w:ascii=".VnTimeH" w:eastAsia="Times New Roman" w:hAnsi=".VnTimeH" w:cs="Times New Roman"/>
      <w:b/>
      <w:sz w:val="26"/>
      <w:szCs w:val="24"/>
    </w:rPr>
  </w:style>
  <w:style w:type="paragraph" w:styleId="ListParagraph">
    <w:name w:val="List Paragraph"/>
    <w:basedOn w:val="Normal"/>
    <w:uiPriority w:val="34"/>
    <w:qFormat/>
    <w:rsid w:val="00236633"/>
    <w:pPr>
      <w:widowControl w:val="0"/>
      <w:spacing w:after="0" w:line="240" w:lineRule="auto"/>
      <w:ind w:left="720"/>
    </w:pPr>
    <w:rPr>
      <w:rFonts w:ascii="Courier New" w:eastAsia="Times New Roman" w:hAnsi="Courier New" w:cs="Courier New"/>
      <w:color w:val="000000"/>
      <w:sz w:val="24"/>
      <w:szCs w:val="24"/>
      <w:lang w:val="vi-VN" w:eastAsia="vi-VN"/>
    </w:rPr>
  </w:style>
  <w:style w:type="character" w:customStyle="1" w:styleId="Bodytext2">
    <w:name w:val="Body text (2)_"/>
    <w:link w:val="Bodytext21"/>
    <w:uiPriority w:val="99"/>
    <w:semiHidden/>
    <w:locked/>
    <w:rsid w:val="00236633"/>
    <w:rPr>
      <w:b/>
      <w:bCs/>
      <w:sz w:val="26"/>
      <w:szCs w:val="26"/>
      <w:shd w:val="clear" w:color="auto" w:fill="FFFFFF"/>
    </w:rPr>
  </w:style>
  <w:style w:type="paragraph" w:customStyle="1" w:styleId="Bodytext21">
    <w:name w:val="Body text (2)1"/>
    <w:basedOn w:val="Normal"/>
    <w:link w:val="Bodytext2"/>
    <w:uiPriority w:val="99"/>
    <w:semiHidden/>
    <w:rsid w:val="00236633"/>
    <w:pPr>
      <w:widowControl w:val="0"/>
      <w:shd w:val="clear" w:color="auto" w:fill="FFFFFF"/>
      <w:spacing w:after="0" w:line="309" w:lineRule="exact"/>
      <w:jc w:val="both"/>
    </w:pPr>
    <w:rPr>
      <w:b/>
      <w:bCs/>
      <w:sz w:val="26"/>
      <w:szCs w:val="26"/>
    </w:rPr>
  </w:style>
  <w:style w:type="character" w:customStyle="1" w:styleId="Heading20">
    <w:name w:val="Heading #2_"/>
    <w:link w:val="Heading21"/>
    <w:uiPriority w:val="99"/>
    <w:semiHidden/>
    <w:locked/>
    <w:rsid w:val="00236633"/>
    <w:rPr>
      <w:b/>
      <w:bCs/>
      <w:sz w:val="26"/>
      <w:szCs w:val="26"/>
      <w:shd w:val="clear" w:color="auto" w:fill="FFFFFF"/>
    </w:rPr>
  </w:style>
  <w:style w:type="paragraph" w:customStyle="1" w:styleId="Heading21">
    <w:name w:val="Heading #2"/>
    <w:basedOn w:val="Normal"/>
    <w:link w:val="Heading20"/>
    <w:uiPriority w:val="99"/>
    <w:semiHidden/>
    <w:rsid w:val="00236633"/>
    <w:pPr>
      <w:widowControl w:val="0"/>
      <w:shd w:val="clear" w:color="auto" w:fill="FFFFFF"/>
      <w:spacing w:after="0" w:line="318" w:lineRule="exact"/>
      <w:ind w:firstLine="520"/>
      <w:jc w:val="both"/>
      <w:outlineLvl w:val="1"/>
    </w:pPr>
    <w:rPr>
      <w:b/>
      <w:bCs/>
      <w:sz w:val="26"/>
      <w:szCs w:val="26"/>
    </w:rPr>
  </w:style>
  <w:style w:type="character" w:customStyle="1" w:styleId="Bodytext0">
    <w:name w:val="Body text_"/>
    <w:link w:val="BodyText1"/>
    <w:semiHidden/>
    <w:locked/>
    <w:rsid w:val="00236633"/>
    <w:rPr>
      <w:sz w:val="27"/>
      <w:szCs w:val="27"/>
      <w:shd w:val="clear" w:color="auto" w:fill="FFFFFF"/>
    </w:rPr>
  </w:style>
  <w:style w:type="paragraph" w:customStyle="1" w:styleId="BodyText1">
    <w:name w:val="Body Text1"/>
    <w:basedOn w:val="Normal"/>
    <w:link w:val="Bodytext0"/>
    <w:semiHidden/>
    <w:rsid w:val="00236633"/>
    <w:pPr>
      <w:widowControl w:val="0"/>
      <w:shd w:val="clear" w:color="auto" w:fill="FFFFFF"/>
      <w:spacing w:before="600" w:after="240" w:line="322" w:lineRule="exact"/>
      <w:jc w:val="both"/>
    </w:pPr>
    <w:rPr>
      <w:sz w:val="27"/>
      <w:szCs w:val="27"/>
    </w:rPr>
  </w:style>
  <w:style w:type="character" w:customStyle="1" w:styleId="st">
    <w:name w:val="st"/>
    <w:basedOn w:val="DefaultParagraphFont"/>
    <w:rsid w:val="00236633"/>
  </w:style>
  <w:style w:type="character" w:styleId="Emphasis">
    <w:name w:val="Emphasis"/>
    <w:basedOn w:val="DefaultParagraphFont"/>
    <w:qFormat/>
    <w:rsid w:val="00236633"/>
    <w:rPr>
      <w:i/>
      <w:iCs/>
    </w:rPr>
  </w:style>
</w:styles>
</file>

<file path=word/webSettings.xml><?xml version="1.0" encoding="utf-8"?>
<w:webSettings xmlns:r="http://schemas.openxmlformats.org/officeDocument/2006/relationships" xmlns:w="http://schemas.openxmlformats.org/wordprocessingml/2006/main">
  <w:divs>
    <w:div w:id="721172021">
      <w:bodyDiv w:val="1"/>
      <w:marLeft w:val="0"/>
      <w:marRight w:val="0"/>
      <w:marTop w:val="0"/>
      <w:marBottom w:val="0"/>
      <w:divBdr>
        <w:top w:val="none" w:sz="0" w:space="0" w:color="auto"/>
        <w:left w:val="none" w:sz="0" w:space="0" w:color="auto"/>
        <w:bottom w:val="none" w:sz="0" w:space="0" w:color="auto"/>
        <w:right w:val="none" w:sz="0" w:space="0" w:color="auto"/>
      </w:divBdr>
    </w:div>
    <w:div w:id="8524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TTDS</dc:creator>
  <cp:keywords/>
  <dc:description/>
  <cp:lastModifiedBy>TTDS</cp:lastModifiedBy>
  <cp:revision>14</cp:revision>
  <cp:lastPrinted>2017-09-19T03:01:00Z</cp:lastPrinted>
  <dcterms:created xsi:type="dcterms:W3CDTF">2017-09-19T02:09:00Z</dcterms:created>
  <dcterms:modified xsi:type="dcterms:W3CDTF">2017-09-19T03:34:00Z</dcterms:modified>
</cp:coreProperties>
</file>